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15" w:rsidRDefault="00B26A15" w:rsidP="00CB1CC3">
      <w:pPr>
        <w:spacing w:before="0" w:line="360" w:lineRule="auto"/>
        <w:jc w:val="center"/>
      </w:pPr>
    </w:p>
    <w:p w:rsidR="008565D0" w:rsidRDefault="008565D0" w:rsidP="00CB1CC3">
      <w:pPr>
        <w:spacing w:before="0" w:line="360" w:lineRule="auto"/>
        <w:jc w:val="center"/>
      </w:pPr>
    </w:p>
    <w:p w:rsidR="00B26A15" w:rsidRDefault="00B26A15" w:rsidP="00CB1CC3">
      <w:pPr>
        <w:spacing w:before="0" w:line="360" w:lineRule="auto"/>
        <w:jc w:val="center"/>
      </w:pPr>
    </w:p>
    <w:p w:rsidR="00B26A15" w:rsidRDefault="00B26A15" w:rsidP="00CB1CC3">
      <w:pPr>
        <w:spacing w:before="0" w:line="360" w:lineRule="auto"/>
        <w:jc w:val="center"/>
      </w:pPr>
    </w:p>
    <w:p w:rsidR="00B26A15" w:rsidRDefault="00B26A15" w:rsidP="00CB1CC3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940AD1" w:rsidRDefault="00940AD1" w:rsidP="00CB1CC3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940AD1" w:rsidRPr="00940AD1" w:rsidRDefault="00940AD1" w:rsidP="00CB1CC3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2E5EFC" w:rsidRDefault="004B5428" w:rsidP="00CB1CC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40AD1">
        <w:rPr>
          <w:rFonts w:ascii="Times New Roman" w:hAnsi="Times New Roman" w:cs="Times New Roman"/>
          <w:b/>
          <w:sz w:val="52"/>
          <w:szCs w:val="52"/>
        </w:rPr>
        <w:t>D-</w:t>
      </w:r>
      <w:r w:rsidR="00841FCB" w:rsidRPr="00940AD1">
        <w:rPr>
          <w:rFonts w:ascii="Times New Roman" w:hAnsi="Times New Roman" w:cs="Times New Roman"/>
          <w:b/>
          <w:sz w:val="52"/>
          <w:szCs w:val="52"/>
        </w:rPr>
        <w:t>10</w:t>
      </w:r>
      <w:r w:rsidRPr="00940AD1">
        <w:rPr>
          <w:rFonts w:ascii="Times New Roman" w:hAnsi="Times New Roman" w:cs="Times New Roman"/>
          <w:b/>
          <w:sz w:val="52"/>
          <w:szCs w:val="52"/>
        </w:rPr>
        <w:t>.0</w:t>
      </w:r>
      <w:r w:rsidR="00841FCB" w:rsidRPr="00940AD1">
        <w:rPr>
          <w:rFonts w:ascii="Times New Roman" w:hAnsi="Times New Roman" w:cs="Times New Roman"/>
          <w:b/>
          <w:sz w:val="52"/>
          <w:szCs w:val="52"/>
        </w:rPr>
        <w:t>0</w:t>
      </w:r>
      <w:r w:rsidRPr="00940AD1">
        <w:rPr>
          <w:rFonts w:ascii="Times New Roman" w:hAnsi="Times New Roman" w:cs="Times New Roman"/>
          <w:b/>
          <w:sz w:val="52"/>
          <w:szCs w:val="52"/>
        </w:rPr>
        <w:t>.0</w:t>
      </w:r>
      <w:r w:rsidR="00841FCB" w:rsidRPr="00940AD1">
        <w:rPr>
          <w:rFonts w:ascii="Times New Roman" w:hAnsi="Times New Roman" w:cs="Times New Roman"/>
          <w:b/>
          <w:sz w:val="52"/>
          <w:szCs w:val="52"/>
        </w:rPr>
        <w:t>0</w:t>
      </w:r>
    </w:p>
    <w:p w:rsidR="008565D0" w:rsidRPr="00940AD1" w:rsidRDefault="008565D0" w:rsidP="00CB1CC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B5428" w:rsidRPr="00940AD1" w:rsidRDefault="00730107" w:rsidP="00CB1CC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40AD1">
        <w:rPr>
          <w:rFonts w:ascii="Times New Roman" w:hAnsi="Times New Roman" w:cs="Times New Roman"/>
          <w:b/>
          <w:sz w:val="52"/>
          <w:szCs w:val="52"/>
        </w:rPr>
        <w:t>Przepusty</w:t>
      </w:r>
    </w:p>
    <w:p w:rsidR="002E5EFC" w:rsidRDefault="002E5EFC" w:rsidP="00CB1CC3">
      <w:pPr>
        <w:spacing w:before="0" w:line="360" w:lineRule="auto"/>
      </w:pPr>
    </w:p>
    <w:p w:rsidR="00841FCB" w:rsidRDefault="002E5EFC" w:rsidP="00CB1CC3">
      <w:pPr>
        <w:spacing w:before="0" w:line="360" w:lineRule="auto"/>
        <w:rPr>
          <w:rFonts w:ascii="Times New Roman" w:eastAsia="Times New Roman" w:hAnsi="Times New Roman"/>
        </w:rPr>
      </w:pPr>
      <w:r>
        <w:br w:type="page"/>
      </w:r>
      <w:bookmarkStart w:id="0" w:name="_GoBack"/>
      <w:bookmarkEnd w:id="0"/>
    </w:p>
    <w:p w:rsidR="00841FCB" w:rsidRPr="00841FCB" w:rsidRDefault="00841FCB" w:rsidP="00CB1CC3">
      <w:pPr>
        <w:pStyle w:val="Nagwek1"/>
        <w:spacing w:before="0"/>
      </w:pPr>
      <w:r>
        <w:lastRenderedPageBreak/>
        <w:t>WSTĘP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Przedmiot OST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Przedmiotem niniejszej Specyfikacji technicznej (SST) są wymagania dotyczące wykonania i odbioru robót</w:t>
      </w:r>
      <w:r w:rsidR="00D84D0E">
        <w:rPr>
          <w:sz w:val="20"/>
          <w:szCs w:val="20"/>
        </w:rPr>
        <w:t xml:space="preserve"> </w:t>
      </w:r>
      <w:r w:rsidRPr="00FD656B">
        <w:rPr>
          <w:sz w:val="20"/>
          <w:szCs w:val="20"/>
        </w:rPr>
        <w:t>związanych z wykonywaniem przepustów</w:t>
      </w:r>
      <w:r w:rsidR="00CB1CC3">
        <w:rPr>
          <w:sz w:val="20"/>
          <w:szCs w:val="20"/>
        </w:rPr>
        <w:t>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Zakres stosowania SST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Szczegółowa specyfikacja techniczna (SST) stosowanej  jako dokument przetargowy i kontraktowy przy</w:t>
      </w:r>
      <w:r w:rsidR="00CB1CC3">
        <w:rPr>
          <w:sz w:val="20"/>
          <w:szCs w:val="20"/>
        </w:rPr>
        <w:t xml:space="preserve"> </w:t>
      </w:r>
      <w:r w:rsidRPr="00FD656B">
        <w:rPr>
          <w:sz w:val="20"/>
          <w:szCs w:val="20"/>
        </w:rPr>
        <w:t>zlecaniu i realizacji robót na  drogach miejskich i gminnych.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Zakres robót objętych SST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Ustalenia zawarte w niniejszej specyfikacji dotyczą zasad prowadzenia robót związanych z wykonywaniem przepustów rurowych pod zjazdami na drogi boczne.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Określenia podstawowe</w:t>
      </w:r>
    </w:p>
    <w:p w:rsidR="00841FCB" w:rsidRPr="00FD656B" w:rsidRDefault="00841FCB" w:rsidP="00CB1CC3">
      <w:pPr>
        <w:numPr>
          <w:ilvl w:val="0"/>
          <w:numId w:val="17"/>
        </w:numPr>
        <w:tabs>
          <w:tab w:val="clear" w:pos="284"/>
          <w:tab w:val="left" w:pos="523"/>
        </w:tabs>
        <w:spacing w:before="0" w:line="360" w:lineRule="auto"/>
        <w:rPr>
          <w:rFonts w:eastAsia="Times New Roman"/>
          <w:b/>
          <w:sz w:val="20"/>
          <w:szCs w:val="20"/>
        </w:rPr>
      </w:pPr>
      <w:r w:rsidRPr="00FD656B">
        <w:rPr>
          <w:sz w:val="20"/>
          <w:szCs w:val="20"/>
        </w:rPr>
        <w:t>Przepust - obiekt wybudowany w formie zamkniętej obudowy konstrukcyjnej, służący do przeprowadzenia wody małych cieków wodnych pod nasypami zjazdów</w:t>
      </w:r>
      <w:r w:rsidRPr="00FD656B">
        <w:rPr>
          <w:rFonts w:eastAsia="Times New Roman"/>
          <w:sz w:val="20"/>
          <w:szCs w:val="20"/>
        </w:rPr>
        <w:t>.</w:t>
      </w:r>
    </w:p>
    <w:p w:rsidR="00841FCB" w:rsidRPr="00FD656B" w:rsidRDefault="00841FCB" w:rsidP="00CB1CC3">
      <w:pPr>
        <w:numPr>
          <w:ilvl w:val="0"/>
          <w:numId w:val="17"/>
        </w:numPr>
        <w:tabs>
          <w:tab w:val="clear" w:pos="284"/>
          <w:tab w:val="left" w:pos="500"/>
        </w:tabs>
        <w:spacing w:before="0" w:line="360" w:lineRule="auto"/>
        <w:ind w:left="500" w:hanging="500"/>
        <w:rPr>
          <w:rFonts w:eastAsia="Times New Roman"/>
          <w:b/>
          <w:sz w:val="20"/>
          <w:szCs w:val="20"/>
        </w:rPr>
      </w:pPr>
      <w:r w:rsidRPr="00FD656B">
        <w:rPr>
          <w:sz w:val="20"/>
          <w:szCs w:val="20"/>
        </w:rPr>
        <w:t>Przepust rurowy - p</w:t>
      </w:r>
      <w:r w:rsidR="00D84D0E">
        <w:rPr>
          <w:sz w:val="20"/>
          <w:szCs w:val="20"/>
        </w:rPr>
        <w:t>rzepust, którego konstrukcja no</w:t>
      </w:r>
      <w:r w:rsidRPr="00FD656B">
        <w:rPr>
          <w:sz w:val="20"/>
          <w:szCs w:val="20"/>
        </w:rPr>
        <w:t>śna wykonana jest z rur betonowych lub żelbetowych</w:t>
      </w:r>
      <w:r w:rsidRPr="00FD656B">
        <w:rPr>
          <w:rFonts w:eastAsia="Times New Roman"/>
          <w:sz w:val="20"/>
          <w:szCs w:val="20"/>
        </w:rPr>
        <w:t>.</w:t>
      </w:r>
    </w:p>
    <w:p w:rsidR="00841FCB" w:rsidRPr="00FD656B" w:rsidRDefault="00841FCB" w:rsidP="00CB1CC3">
      <w:pPr>
        <w:numPr>
          <w:ilvl w:val="0"/>
          <w:numId w:val="17"/>
        </w:numPr>
        <w:tabs>
          <w:tab w:val="clear" w:pos="284"/>
          <w:tab w:val="left" w:pos="500"/>
        </w:tabs>
        <w:spacing w:before="0" w:line="360" w:lineRule="auto"/>
        <w:ind w:left="500" w:hanging="500"/>
        <w:rPr>
          <w:rFonts w:eastAsia="Times New Roman"/>
          <w:b/>
          <w:sz w:val="20"/>
          <w:szCs w:val="20"/>
        </w:rPr>
      </w:pPr>
      <w:r w:rsidRPr="00FD656B">
        <w:rPr>
          <w:sz w:val="20"/>
          <w:szCs w:val="20"/>
        </w:rPr>
        <w:t>Ścianka czołowa - konstrukcja stabilizująca przepust na wlocie i wylocie i podtrzymująca nasyp zjazdu</w:t>
      </w:r>
      <w:r w:rsidRPr="00FD656B">
        <w:rPr>
          <w:rFonts w:eastAsia="Times New Roman"/>
          <w:sz w:val="20"/>
          <w:szCs w:val="20"/>
        </w:rPr>
        <w:t>.</w:t>
      </w:r>
    </w:p>
    <w:p w:rsidR="00841FCB" w:rsidRPr="00FD656B" w:rsidRDefault="00841FCB" w:rsidP="00CB1CC3">
      <w:pPr>
        <w:numPr>
          <w:ilvl w:val="0"/>
          <w:numId w:val="17"/>
        </w:numPr>
        <w:tabs>
          <w:tab w:val="clear" w:pos="284"/>
          <w:tab w:val="left" w:pos="526"/>
        </w:tabs>
        <w:spacing w:before="0" w:line="360" w:lineRule="auto"/>
        <w:ind w:right="20"/>
        <w:rPr>
          <w:rFonts w:eastAsia="Times New Roman"/>
          <w:b/>
          <w:sz w:val="20"/>
          <w:szCs w:val="20"/>
        </w:rPr>
      </w:pPr>
      <w:r w:rsidRPr="00FD656B">
        <w:rPr>
          <w:sz w:val="20"/>
          <w:szCs w:val="20"/>
        </w:rPr>
        <w:t>Pozostałe określenia podstawowe są zgodne z obowiązującymi, odpowiednimi polskimi normami</w:t>
      </w:r>
      <w:r w:rsidR="00CB1CC3">
        <w:rPr>
          <w:sz w:val="20"/>
          <w:szCs w:val="20"/>
        </w:rPr>
        <w:t xml:space="preserve">                             </w:t>
      </w:r>
      <w:r w:rsidRPr="00FD656B">
        <w:rPr>
          <w:sz w:val="20"/>
          <w:szCs w:val="20"/>
        </w:rPr>
        <w:t xml:space="preserve"> i z definicjami</w:t>
      </w:r>
      <w:r w:rsidR="00527419">
        <w:rPr>
          <w:sz w:val="20"/>
          <w:szCs w:val="20"/>
        </w:rPr>
        <w:t xml:space="preserve"> </w:t>
      </w:r>
      <w:r w:rsidRPr="00FD656B">
        <w:rPr>
          <w:sz w:val="20"/>
          <w:szCs w:val="20"/>
        </w:rPr>
        <w:t>podanymi</w:t>
      </w:r>
    </w:p>
    <w:p w:rsidR="00841FCB" w:rsidRPr="00841FCB" w:rsidRDefault="00841FCB" w:rsidP="00CB1CC3">
      <w:pPr>
        <w:tabs>
          <w:tab w:val="clear" w:pos="284"/>
          <w:tab w:val="left" w:pos="526"/>
        </w:tabs>
        <w:spacing w:before="0" w:line="360" w:lineRule="auto"/>
        <w:ind w:right="20"/>
        <w:rPr>
          <w:rFonts w:ascii="Times New Roman" w:eastAsia="Times New Roman" w:hAnsi="Times New Roman"/>
          <w:b/>
        </w:rPr>
      </w:pPr>
    </w:p>
    <w:p w:rsidR="00841FCB" w:rsidRPr="00841FCB" w:rsidRDefault="00841FCB" w:rsidP="00CB1CC3">
      <w:pPr>
        <w:pStyle w:val="Nagwek1"/>
        <w:spacing w:before="0"/>
      </w:pPr>
      <w:r>
        <w:t>MATERIAŁY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b w:val="0"/>
          <w:bCs w:val="0"/>
          <w:iCs w:val="0"/>
          <w:sz w:val="20"/>
          <w:szCs w:val="20"/>
        </w:rPr>
      </w:pPr>
      <w:r w:rsidRPr="00FD656B">
        <w:rPr>
          <w:sz w:val="20"/>
          <w:szCs w:val="20"/>
        </w:rPr>
        <w:t>Ogólne wymagania dotyczące materiałów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Rodzaje materiałów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Materiałami stosowanymi przy wykonywaniu przepustów z typowych prefabrykowanych rur betonowych, objętych niniejszą SST, są: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prefabrykaty rurowe,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kruszywo do betonu,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cement,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woda,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mieszanka pod ławę fundamentową,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drewno na deskowanie,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materiały izolacyjne,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zaprawa cementowa.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Prefabrykaty rurowe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Kształt i wymiary prefabrykatów powinny by ć zgodne z dokumentacją projektową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Powierzchnie elementów powinny by ć gładkie, bez pęknięć i rys. Dopuszcza się drobne pory jako pozostałości po pęcherzykach powietrza i wodzie, których głębokość nie przekracza 5 mm.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Prefabrykaty rurowe powinny być wykonane z betonu klasy co najmniej  B-30.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lastRenderedPageBreak/>
        <w:t>Składowanie prefabrykatów powinno odbywa ć się na wyrównanym, utwardzonym i odwodnionym podłożu.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Kruszywa do betonu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Kruszywa stosowane do wyrobu betonowych elementów konstrukcji przepustów powinny spełnia ć wymagania PN-B-06712 [5].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Kruszywa należy składować w warunkach zabezpieczających je przed zanieczyszczeniem oraz zmieszaniem z innymi asortymentami lub jego frakcjami. Podłoże składowiska powinno być równe, utwardzone i dobrze odwodnione.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Cement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Cement stosowany do wyrobu betonowych elementów konstrukcji przepustów powinien spełnia ć wymagania PN-B-19701 [7].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Należy stosować cement portlandzki zwykły (bez dodatków) klasy 42, 5 do betonu klasy B-30 i klasy 32,5 do betonu klasy B-25.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Cement należy przechowywać zgodnie z BN-88/6731-08 [14].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Woda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Woda powinna być „odmiany 1” zgodnie z wymaganiami PN-B-32250 [9]. Bez badań laboratoryjnych można stosować wodociągową wodę pitną.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Mieszanka kruszywa naturalnego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Mieszanka do wykonania ławy fundamentowej powinna spełniać wymagania PN-B-06712 [5].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Materiały izolacyjne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Do wykonania izolacji przepustów i  ścianek czołowych można stosować: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emulsję kationową, wg BN-68/6753-04 [17] lub aprobaty technicznej,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roztwór asfaltowy do gruntowania wg PN-B-24622 [8],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lepik asfaltowy na gorąco bez wypełniacza wg PN-C-96177 [10],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- papę asfaltową wg BN-79/6751-01 [15] i BN-88/6751-03 [16] lub aprobaty technicznej,</w:t>
      </w:r>
    </w:p>
    <w:p w:rsidR="00841FCB" w:rsidRPr="00FD656B" w:rsidRDefault="00841FCB" w:rsidP="00CB1CC3">
      <w:pPr>
        <w:spacing w:before="0" w:line="360" w:lineRule="auto"/>
        <w:rPr>
          <w:rFonts w:eastAsia="Symbol"/>
          <w:sz w:val="20"/>
          <w:szCs w:val="20"/>
        </w:rPr>
      </w:pPr>
      <w:r w:rsidRPr="00FD656B">
        <w:rPr>
          <w:sz w:val="20"/>
          <w:szCs w:val="20"/>
        </w:rPr>
        <w:t>wszelkie inne materiały izolacyjne sprawdzone doświadczalnie i posiadające aprobatę techniczną - za zgodą Inżyniera.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Zaprawa cementowa</w:t>
      </w:r>
    </w:p>
    <w:p w:rsidR="00841FC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Stosowana zaprawa cementowa powinna być marki nie niższej niż M 12 i spełniać wymagania PN-B-14501 [6].</w:t>
      </w:r>
    </w:p>
    <w:p w:rsidR="00FD656B" w:rsidRPr="00FD656B" w:rsidRDefault="00FD656B" w:rsidP="00CB1CC3">
      <w:pPr>
        <w:spacing w:before="0" w:line="360" w:lineRule="auto"/>
        <w:rPr>
          <w:sz w:val="20"/>
          <w:szCs w:val="20"/>
        </w:rPr>
      </w:pPr>
    </w:p>
    <w:p w:rsidR="00841FCB" w:rsidRPr="00841FCB" w:rsidRDefault="00841FCB" w:rsidP="00CB1CC3">
      <w:pPr>
        <w:pStyle w:val="Nagwek1"/>
        <w:spacing w:before="0"/>
      </w:pPr>
      <w:r>
        <w:t>SPRZĘT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Ogólne wymagania dotyczące sprzętu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Sprzęt do wykonania przepustów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Wykonawca przystępujący do wykonania przepustów pod zjazdami powinien wy kazać się możliwością korzystania z następującego sprzętu:</w:t>
      </w:r>
    </w:p>
    <w:p w:rsidR="00841FCB" w:rsidRPr="00FD656B" w:rsidRDefault="00841FCB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koparek,</w:t>
      </w:r>
    </w:p>
    <w:p w:rsidR="00841FCB" w:rsidRPr="00FD656B" w:rsidRDefault="00841FCB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betoniarek,</w:t>
      </w:r>
    </w:p>
    <w:p w:rsidR="00841FCB" w:rsidRPr="00FD656B" w:rsidRDefault="00841FCB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lastRenderedPageBreak/>
        <w:t>- dozowników wagowych do cementu,</w:t>
      </w:r>
    </w:p>
    <w:p w:rsidR="00841FCB" w:rsidRPr="00FD656B" w:rsidRDefault="00841FCB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sprzętu do zagęszczania: ubijaki ręczne i mechaniczne, zagęszczarki płytowe.</w:t>
      </w:r>
    </w:p>
    <w:p w:rsidR="00841FCB" w:rsidRDefault="00841FCB" w:rsidP="00CB1CC3">
      <w:pPr>
        <w:spacing w:before="0" w:line="360" w:lineRule="auto"/>
        <w:rPr>
          <w:rFonts w:ascii="Times New Roman" w:eastAsia="Times New Roman" w:hAnsi="Times New Roman"/>
        </w:rPr>
      </w:pPr>
    </w:p>
    <w:p w:rsidR="00841FCB" w:rsidRPr="00841FCB" w:rsidRDefault="00841FCB" w:rsidP="00CB1CC3">
      <w:pPr>
        <w:pStyle w:val="Nagwek1"/>
        <w:spacing w:before="0"/>
      </w:pPr>
      <w:r>
        <w:t>WYKONANIE ROBÓT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</w:rPr>
      </w:pPr>
      <w:r w:rsidRPr="00FD656B">
        <w:rPr>
          <w:sz w:val="20"/>
        </w:rPr>
        <w:t>Roboty przygotowawcze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Wykonawca zobowiązany jest do przygotowania terenu budowy w zakresie:</w:t>
      </w:r>
    </w:p>
    <w:p w:rsidR="00841FCB" w:rsidRPr="00FD656B" w:rsidRDefault="00841FCB" w:rsidP="00CB1CC3">
      <w:pPr>
        <w:spacing w:before="0" w:line="360" w:lineRule="auto"/>
        <w:rPr>
          <w:rFonts w:ascii="Symbol" w:eastAsia="Symbol" w:hAnsi="Symbol"/>
          <w:sz w:val="20"/>
        </w:rPr>
      </w:pPr>
      <w:r w:rsidRPr="00FD656B">
        <w:rPr>
          <w:sz w:val="20"/>
        </w:rPr>
        <w:t>- odwodnienia,</w:t>
      </w:r>
    </w:p>
    <w:p w:rsidR="00841FCB" w:rsidRPr="00FD656B" w:rsidRDefault="00841FCB" w:rsidP="00CB1CC3">
      <w:pPr>
        <w:spacing w:before="0" w:line="360" w:lineRule="auto"/>
        <w:rPr>
          <w:rFonts w:ascii="Symbol" w:eastAsia="Symbol" w:hAnsi="Symbol"/>
          <w:sz w:val="20"/>
        </w:rPr>
      </w:pPr>
      <w:r w:rsidRPr="00FD656B">
        <w:rPr>
          <w:sz w:val="20"/>
        </w:rPr>
        <w:t>- czasowego przełożenia koryta cieku w przypadku przepływu wody w rowie, na którym b ędzie wykonywany przepust,</w:t>
      </w:r>
    </w:p>
    <w:p w:rsidR="00841FCB" w:rsidRPr="00FD656B" w:rsidRDefault="00841FCB" w:rsidP="00CB1CC3">
      <w:pPr>
        <w:spacing w:before="0" w:line="360" w:lineRule="auto"/>
        <w:rPr>
          <w:rFonts w:ascii="Symbol" w:eastAsia="Symbol" w:hAnsi="Symbol"/>
          <w:sz w:val="20"/>
        </w:rPr>
      </w:pPr>
      <w:r w:rsidRPr="00FD656B">
        <w:rPr>
          <w:sz w:val="20"/>
        </w:rPr>
        <w:t>- wytyczenia osi przepustu i krawędzi wykopu,</w:t>
      </w:r>
    </w:p>
    <w:p w:rsidR="00841FCB" w:rsidRPr="00FD656B" w:rsidRDefault="00841FCB" w:rsidP="00CB1CC3">
      <w:pPr>
        <w:tabs>
          <w:tab w:val="clear" w:pos="284"/>
          <w:tab w:val="left" w:pos="260"/>
        </w:tabs>
        <w:spacing w:before="0" w:line="360" w:lineRule="auto"/>
        <w:rPr>
          <w:rFonts w:ascii="Times New Roman" w:eastAsia="Times New Roman" w:hAnsi="Times New Roman"/>
          <w:sz w:val="20"/>
        </w:rPr>
      </w:pPr>
      <w:r w:rsidRPr="00FD656B">
        <w:rPr>
          <w:rFonts w:ascii="Symbol" w:eastAsia="Symbol" w:hAnsi="Symbol"/>
          <w:sz w:val="20"/>
        </w:rPr>
        <w:t></w:t>
      </w:r>
      <w:r w:rsidRPr="00FD656B">
        <w:rPr>
          <w:rFonts w:ascii="Times New Roman" w:eastAsia="Times New Roman" w:hAnsi="Times New Roman"/>
          <w:sz w:val="20"/>
        </w:rPr>
        <w:tab/>
        <w:t>innych robót podanych w dokumentacji projektowej i  SST.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</w:rPr>
      </w:pPr>
      <w:r w:rsidRPr="00FD656B">
        <w:rPr>
          <w:sz w:val="20"/>
        </w:rPr>
        <w:t>Wykop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Sposób wykonywania robót ziemnych pod ław ę fundamentową powinien być dostosowany do wielkości przepustu, głębokości wykopu, ukształtowania terenu i rodzaju gruntu.</w:t>
      </w:r>
    </w:p>
    <w:p w:rsid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Wykop należy wykonywać w takim okresie, aby po ich zakończeniu można było przystąpić do wykonywania przepustu</w:t>
      </w:r>
      <w:r w:rsidR="00CB1CC3">
        <w:rPr>
          <w:sz w:val="20"/>
        </w:rPr>
        <w:t xml:space="preserve"> 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</w:rPr>
      </w:pPr>
      <w:r w:rsidRPr="00FD656B">
        <w:rPr>
          <w:sz w:val="20"/>
        </w:rPr>
        <w:t>Ława fundamentowa pod przepust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Ława fundamentowa powinna być wykonana zgodnie z dokumentacją projektową</w:t>
      </w:r>
      <w:r w:rsidRPr="00FD656B">
        <w:rPr>
          <w:sz w:val="20"/>
        </w:rPr>
        <w:tab/>
        <w:t>i SST.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Jeżeli dokumentacja projektowa nie stanowi inaczej to ława fundamentowa może być wykonana: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rFonts w:ascii="Symbol" w:eastAsia="Symbol" w:hAnsi="Symbol"/>
          <w:sz w:val="20"/>
        </w:rPr>
        <w:t></w:t>
      </w:r>
      <w:r w:rsidRPr="00FD656B">
        <w:rPr>
          <w:sz w:val="20"/>
        </w:rPr>
        <w:tab/>
        <w:t>betonu B -10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Dopuszczalne odchyłki dla ław fundamentowych przepustów wynoszą: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rFonts w:ascii="Symbol" w:eastAsia="Symbol" w:hAnsi="Symbol"/>
          <w:sz w:val="20"/>
        </w:rPr>
        <w:t></w:t>
      </w:r>
      <w:r w:rsidRPr="00FD656B">
        <w:rPr>
          <w:sz w:val="20"/>
        </w:rPr>
        <w:tab/>
        <w:t>dla wymiarów w planie</w:t>
      </w:r>
      <w:r w:rsidRPr="00FD656B">
        <w:rPr>
          <w:sz w:val="20"/>
        </w:rPr>
        <w:tab/>
      </w:r>
      <w:r w:rsidRPr="00FD656B">
        <w:rPr>
          <w:rFonts w:ascii="Symbol" w:eastAsia="Symbol" w:hAnsi="Symbol"/>
          <w:sz w:val="20"/>
        </w:rPr>
        <w:t></w:t>
      </w:r>
      <w:r w:rsidRPr="00FD656B">
        <w:rPr>
          <w:rFonts w:ascii="Symbol" w:eastAsia="Symbol" w:hAnsi="Symbol"/>
          <w:sz w:val="20"/>
        </w:rPr>
        <w:t></w:t>
      </w:r>
      <w:r w:rsidRPr="00FD656B">
        <w:rPr>
          <w:sz w:val="20"/>
        </w:rPr>
        <w:t>5 cm,</w:t>
      </w:r>
    </w:p>
    <w:p w:rsidR="00FD656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rFonts w:ascii="Symbol" w:eastAsia="Symbol" w:hAnsi="Symbol"/>
          <w:sz w:val="20"/>
        </w:rPr>
        <w:t></w:t>
      </w:r>
      <w:r w:rsidRPr="00FD656B">
        <w:rPr>
          <w:sz w:val="20"/>
        </w:rPr>
        <w:tab/>
        <w:t xml:space="preserve">dla rzędnych wierzchu ławy </w:t>
      </w:r>
      <w:r w:rsidRPr="00FD656B">
        <w:rPr>
          <w:rFonts w:ascii="Symbol" w:eastAsia="Symbol" w:hAnsi="Symbol"/>
          <w:sz w:val="20"/>
        </w:rPr>
        <w:t></w:t>
      </w:r>
      <w:r w:rsidR="00FD656B">
        <w:rPr>
          <w:sz w:val="20"/>
        </w:rPr>
        <w:t xml:space="preserve"> 2 cm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</w:rPr>
      </w:pPr>
      <w:r w:rsidRPr="00FD656B">
        <w:rPr>
          <w:sz w:val="20"/>
        </w:rPr>
        <w:t>Układanie prefabrykatów rurowych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Układanie rur betonowych lub żelbetowych należy wykonać wg BN-74/9191-01 [18]. Styki rur należy wypełnić zaprawą cementową wg pkt 2.10 i uszczelnić materiałem wg pkt 2.9 zaakceptowanym przez Inżyniera.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Powierzchnie elementów betonowych, które po zasyp  aniu znajdą się pod ziemią, należy zagruntować przez:</w:t>
      </w:r>
    </w:p>
    <w:p w:rsidR="00841FCB" w:rsidRPr="00FD656B" w:rsidRDefault="00841FCB" w:rsidP="00CB1CC3">
      <w:pPr>
        <w:spacing w:before="0" w:line="360" w:lineRule="auto"/>
        <w:rPr>
          <w:rFonts w:ascii="Symbol" w:eastAsia="Symbol" w:hAnsi="Symbol"/>
          <w:sz w:val="20"/>
        </w:rPr>
      </w:pPr>
      <w:r w:rsidRPr="00FD656B">
        <w:rPr>
          <w:sz w:val="20"/>
        </w:rPr>
        <w:t>- dwukrotne smarowanie betonu emulsją kationową w przypadku powierzchni wilgotnych,</w:t>
      </w:r>
    </w:p>
    <w:p w:rsidR="00841FCB" w:rsidRPr="00FD656B" w:rsidRDefault="00841FCB" w:rsidP="00CB1CC3">
      <w:pPr>
        <w:spacing w:before="0" w:line="360" w:lineRule="auto"/>
        <w:rPr>
          <w:rFonts w:ascii="Symbol" w:eastAsia="Symbol" w:hAnsi="Symbol"/>
          <w:sz w:val="20"/>
        </w:rPr>
      </w:pPr>
      <w:r w:rsidRPr="00FD656B">
        <w:rPr>
          <w:sz w:val="20"/>
        </w:rPr>
        <w:t>- smarowanie roztworem asfaltowym w przypadku powierzchni suchych,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lub innymi metodami zaakceptowanymi przez Inżyniera.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</w:rPr>
      </w:pPr>
      <w:r w:rsidRPr="00FD656B">
        <w:rPr>
          <w:sz w:val="20"/>
        </w:rPr>
        <w:t>Zasypka przepustów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Zasypkę (mieszanka, piasek, grunt rodzimy) należy układać jednocześnie z obu stron przepustu, warstwami o jednakowej grubości z jednoczesnym zagęszczaniem. Wilgotność zasypki w czasie zagęszczania powinna odpowiadać wilgotności optymalnej wg normalnej próby Proctora, metod ą I wg PN-B-04481 [2] z tolerancją -20%, +10%.</w:t>
      </w:r>
    </w:p>
    <w:p w:rsidR="00841FCB" w:rsidRPr="00FD656B" w:rsidRDefault="00841FCB" w:rsidP="00CB1CC3">
      <w:pPr>
        <w:spacing w:before="0" w:line="360" w:lineRule="auto"/>
        <w:rPr>
          <w:sz w:val="20"/>
        </w:rPr>
      </w:pPr>
      <w:r w:rsidRPr="00FD656B">
        <w:rPr>
          <w:sz w:val="20"/>
        </w:rPr>
        <w:t>Wskaźnik zagęszczenia poszczególnych warstw powinien by ć zgodny z dokumentacją projektową</w:t>
      </w:r>
      <w:r w:rsidR="00EB3261" w:rsidRPr="00FD656B">
        <w:rPr>
          <w:sz w:val="20"/>
        </w:rPr>
        <w:t xml:space="preserve"> i SST.</w:t>
      </w:r>
    </w:p>
    <w:p w:rsidR="00841FCB" w:rsidRPr="00EB3261" w:rsidRDefault="00841FCB" w:rsidP="00CB1CC3">
      <w:pPr>
        <w:pStyle w:val="Nagwek1"/>
        <w:spacing w:before="0"/>
      </w:pPr>
      <w:r>
        <w:lastRenderedPageBreak/>
        <w:t xml:space="preserve"> OBMIAR ROBÓT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 xml:space="preserve"> Jednostka obmiarowa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Jednostką obmiarową jest m (metr) wykonanego przepustu.</w:t>
      </w:r>
    </w:p>
    <w:p w:rsidR="00FD656B" w:rsidRPr="00EB3261" w:rsidRDefault="00FD656B" w:rsidP="00CB1CC3">
      <w:pPr>
        <w:spacing w:before="0" w:line="360" w:lineRule="auto"/>
      </w:pPr>
    </w:p>
    <w:p w:rsidR="00841FCB" w:rsidRPr="00EB3261" w:rsidRDefault="00841FCB" w:rsidP="00CB1CC3">
      <w:pPr>
        <w:pStyle w:val="Nagwek1"/>
        <w:spacing w:before="0"/>
      </w:pPr>
      <w:r>
        <w:t>ODBIÓR ROBÓT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Roboty uznaje się za wykonane zgodnie z dokumentacją projektową, SST</w:t>
      </w:r>
      <w:r w:rsidRPr="00FD656B">
        <w:rPr>
          <w:sz w:val="20"/>
          <w:szCs w:val="20"/>
        </w:rPr>
        <w:tab/>
        <w:t>i wymaganiami Inżyniera,</w:t>
      </w:r>
    </w:p>
    <w:p w:rsidR="00841FCB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jeżeli wszystkie pomiary i badania z zachowaniem tolerancji wg pkt 6 dały wyniki pozytywne.</w:t>
      </w:r>
    </w:p>
    <w:p w:rsidR="00841FCB" w:rsidRDefault="00841FCB" w:rsidP="00CB1CC3">
      <w:pPr>
        <w:spacing w:before="0" w:line="360" w:lineRule="auto"/>
        <w:rPr>
          <w:rFonts w:ascii="Times New Roman" w:eastAsia="Times New Roman" w:hAnsi="Times New Roman"/>
        </w:rPr>
      </w:pPr>
    </w:p>
    <w:p w:rsidR="00841FCB" w:rsidRPr="00EB3261" w:rsidRDefault="00EB3261" w:rsidP="00CB1CC3">
      <w:pPr>
        <w:pStyle w:val="Nagwek1"/>
        <w:spacing w:before="0"/>
      </w:pPr>
      <w:r>
        <w:t>PODSTAWA PŁATNO</w:t>
      </w:r>
      <w:r w:rsidR="00841FCB">
        <w:t>ŚCI</w:t>
      </w:r>
    </w:p>
    <w:p w:rsidR="00841FCB" w:rsidRPr="00FD656B" w:rsidRDefault="00EB3261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Ogólne ustalenia dotycz</w:t>
      </w:r>
      <w:r w:rsidR="00841FCB" w:rsidRPr="00FD656B">
        <w:rPr>
          <w:sz w:val="20"/>
          <w:szCs w:val="20"/>
        </w:rPr>
        <w:t>ące podstawy płatności</w:t>
      </w:r>
    </w:p>
    <w:p w:rsidR="00841FCB" w:rsidRPr="00FD656B" w:rsidRDefault="00841FCB" w:rsidP="00CB1CC3">
      <w:pPr>
        <w:pStyle w:val="Nagwek2"/>
        <w:spacing w:before="0" w:after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Cena jednostki obmiarowej</w:t>
      </w:r>
    </w:p>
    <w:p w:rsidR="00EB3261" w:rsidRPr="00FD656B" w:rsidRDefault="00841FCB" w:rsidP="00CB1CC3">
      <w:p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Cena wykonania 1 m przepustu obejmuje: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roboty pomiarowe i przygotowawcze,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wykonanie wykopu wraz z odwodnieniem,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dostarczenie materiałów,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wykonanie ław fundamentowych,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wykonanie deskowania i rozebranie,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montaż konstrukcji przepustu,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betonowanie konstrukcji fundamentu i ścianki czołowej,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wykonanie izolacji,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wykonanie zasypki i zagęszczenie,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umocnienie wlotów i wylotów,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rFonts w:ascii="Symbol" w:eastAsia="Symbol" w:hAnsi="Symbol"/>
          <w:sz w:val="20"/>
          <w:szCs w:val="20"/>
        </w:rPr>
        <w:t></w:t>
      </w:r>
      <w:r w:rsidRPr="00FD656B">
        <w:rPr>
          <w:rFonts w:ascii="Symbol" w:eastAsia="Symbol" w:hAnsi="Symbol"/>
          <w:sz w:val="20"/>
          <w:szCs w:val="20"/>
        </w:rPr>
        <w:t></w:t>
      </w:r>
      <w:r w:rsidRPr="00FD656B">
        <w:rPr>
          <w:sz w:val="20"/>
          <w:szCs w:val="20"/>
        </w:rPr>
        <w:t>uporządkowanie terenu,</w:t>
      </w:r>
    </w:p>
    <w:p w:rsidR="00EB3261" w:rsidRPr="00FD656B" w:rsidRDefault="00EB3261" w:rsidP="00CB1CC3">
      <w:pPr>
        <w:spacing w:before="0" w:line="360" w:lineRule="auto"/>
        <w:rPr>
          <w:rFonts w:ascii="Symbol" w:eastAsia="Symbol" w:hAnsi="Symbol"/>
          <w:sz w:val="20"/>
          <w:szCs w:val="20"/>
        </w:rPr>
      </w:pPr>
      <w:r w:rsidRPr="00FD656B">
        <w:rPr>
          <w:sz w:val="20"/>
          <w:szCs w:val="20"/>
        </w:rPr>
        <w:t>- przeprowadzenie badań i pomiarów wymaganych w specyfikacji technicznej.</w:t>
      </w:r>
    </w:p>
    <w:p w:rsidR="00EB3261" w:rsidRDefault="00EB3261" w:rsidP="00CB1CC3">
      <w:pPr>
        <w:spacing w:before="0" w:line="360" w:lineRule="auto"/>
        <w:rPr>
          <w:rFonts w:ascii="Times New Roman" w:eastAsia="Times New Roman" w:hAnsi="Times New Roman"/>
        </w:rPr>
      </w:pPr>
    </w:p>
    <w:p w:rsidR="00EB3261" w:rsidRPr="00EB3261" w:rsidRDefault="00EB3261" w:rsidP="00CB1CC3">
      <w:pPr>
        <w:pStyle w:val="Nagwek1"/>
        <w:spacing w:before="0"/>
      </w:pPr>
      <w:r>
        <w:t xml:space="preserve"> PRZEPISY ZWIĄZANE</w:t>
      </w:r>
    </w:p>
    <w:p w:rsidR="00EB3261" w:rsidRPr="00FD656B" w:rsidRDefault="00EB3261" w:rsidP="00CB1CC3">
      <w:pPr>
        <w:spacing w:before="0" w:line="360" w:lineRule="auto"/>
        <w:rPr>
          <w:b/>
          <w:sz w:val="20"/>
          <w:szCs w:val="20"/>
        </w:rPr>
      </w:pPr>
      <w:r w:rsidRPr="00FD656B">
        <w:rPr>
          <w:b/>
          <w:sz w:val="20"/>
          <w:szCs w:val="20"/>
        </w:rPr>
        <w:t>Normy</w:t>
      </w:r>
    </w:p>
    <w:p w:rsidR="002E5EFC" w:rsidRPr="00FD656B" w:rsidRDefault="00EB3261" w:rsidP="00CB1CC3">
      <w:pPr>
        <w:pStyle w:val="Akapitzlist"/>
        <w:numPr>
          <w:ilvl w:val="0"/>
          <w:numId w:val="32"/>
        </w:num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PN-B-02356 - Tolerancja wymiarowania w budownictwie. Tolerancja wymiarowa elementów    budowlanych z betonu.</w:t>
      </w:r>
    </w:p>
    <w:p w:rsidR="00EB3261" w:rsidRPr="00FD656B" w:rsidRDefault="00EB3261" w:rsidP="00CB1CC3">
      <w:pPr>
        <w:pStyle w:val="Akapitzlist"/>
        <w:numPr>
          <w:ilvl w:val="0"/>
          <w:numId w:val="32"/>
        </w:num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PN-B-04481 – Grunty budowlane. Badania próbek i gruntu</w:t>
      </w:r>
    </w:p>
    <w:p w:rsidR="00EB3261" w:rsidRPr="00FD656B" w:rsidRDefault="00EB3261" w:rsidP="00CB1CC3">
      <w:pPr>
        <w:pStyle w:val="Akapitzlist"/>
        <w:numPr>
          <w:ilvl w:val="0"/>
          <w:numId w:val="32"/>
        </w:num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 xml:space="preserve">PN-B-06251 – Roboty betonowe i żelbetowe. Wymagania techniczne </w:t>
      </w:r>
    </w:p>
    <w:p w:rsidR="00EB3261" w:rsidRPr="00FD656B" w:rsidRDefault="00EB3261" w:rsidP="00CB1CC3">
      <w:pPr>
        <w:pStyle w:val="Akapitzlist"/>
        <w:numPr>
          <w:ilvl w:val="0"/>
          <w:numId w:val="32"/>
        </w:num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PN-B-06253 – Konstrukcje betonowe. Warunki wykonania i chrony w środowisku agresywnych wód gruntowych</w:t>
      </w:r>
    </w:p>
    <w:p w:rsidR="00EB3261" w:rsidRPr="00FD656B" w:rsidRDefault="00EB3261" w:rsidP="00CB1CC3">
      <w:pPr>
        <w:pStyle w:val="Akapitzlist"/>
        <w:numPr>
          <w:ilvl w:val="0"/>
          <w:numId w:val="32"/>
        </w:num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PN-B- 06712 – Kruszywo mineralne do betonu</w:t>
      </w:r>
    </w:p>
    <w:p w:rsidR="00EB3261" w:rsidRPr="00FD656B" w:rsidRDefault="00EB3261" w:rsidP="00CB1CC3">
      <w:pPr>
        <w:pStyle w:val="Akapitzlist"/>
        <w:numPr>
          <w:ilvl w:val="0"/>
          <w:numId w:val="32"/>
        </w:numPr>
        <w:spacing w:before="0" w:line="360" w:lineRule="auto"/>
        <w:rPr>
          <w:sz w:val="20"/>
          <w:szCs w:val="20"/>
        </w:rPr>
      </w:pPr>
      <w:r w:rsidRPr="00FD656B">
        <w:rPr>
          <w:sz w:val="20"/>
          <w:szCs w:val="20"/>
        </w:rPr>
        <w:t>PN-B-14501 – Zaprawy budowlane zwykłe</w:t>
      </w:r>
    </w:p>
    <w:sectPr w:rsidR="00EB3261" w:rsidRPr="00FD656B" w:rsidSect="005E0C18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1247" w:bottom="1247" w:left="1418" w:header="709" w:footer="89" w:gutter="0"/>
      <w:pgNumType w:start="22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526" w:rsidRDefault="00A52526" w:rsidP="006B25A5">
      <w:pPr>
        <w:spacing w:line="240" w:lineRule="auto"/>
      </w:pPr>
      <w:r>
        <w:separator/>
      </w:r>
    </w:p>
  </w:endnote>
  <w:endnote w:type="continuationSeparator" w:id="1">
    <w:p w:rsidR="00A52526" w:rsidRDefault="00A52526" w:rsidP="006B25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0158336"/>
      <w:docPartObj>
        <w:docPartGallery w:val="Page Numbers (Bottom of Page)"/>
        <w:docPartUnique/>
      </w:docPartObj>
    </w:sdtPr>
    <w:sdtContent>
      <w:p w:rsidR="00CB1CC3" w:rsidRDefault="00C333A7">
        <w:pPr>
          <w:pStyle w:val="Stopka"/>
          <w:jc w:val="right"/>
        </w:pPr>
        <w:fldSimple w:instr=" PAGE   \* MERGEFORMAT ">
          <w:r w:rsidR="005E0C18">
            <w:rPr>
              <w:noProof/>
            </w:rPr>
            <w:t>227</w:t>
          </w:r>
        </w:fldSimple>
      </w:p>
    </w:sdtContent>
  </w:sdt>
  <w:p w:rsidR="001B4FA8" w:rsidRDefault="001B4FA8" w:rsidP="001B4FA8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0158335"/>
      <w:docPartObj>
        <w:docPartGallery w:val="Page Numbers (Bottom of Page)"/>
        <w:docPartUnique/>
      </w:docPartObj>
    </w:sdtPr>
    <w:sdtContent>
      <w:p w:rsidR="00CB1CC3" w:rsidRDefault="00C333A7">
        <w:pPr>
          <w:pStyle w:val="Stopka"/>
          <w:jc w:val="right"/>
        </w:pPr>
        <w:fldSimple w:instr=" PAGE   \* MERGEFORMAT ">
          <w:r w:rsidR="005E0C18">
            <w:rPr>
              <w:noProof/>
            </w:rPr>
            <w:t>223</w:t>
          </w:r>
        </w:fldSimple>
      </w:p>
    </w:sdtContent>
  </w:sdt>
  <w:p w:rsidR="00940AD1" w:rsidRDefault="00940A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526" w:rsidRDefault="00A52526" w:rsidP="006B25A5">
      <w:pPr>
        <w:spacing w:line="240" w:lineRule="auto"/>
      </w:pPr>
      <w:r>
        <w:separator/>
      </w:r>
    </w:p>
  </w:footnote>
  <w:footnote w:type="continuationSeparator" w:id="1">
    <w:p w:rsidR="00A52526" w:rsidRDefault="00A52526" w:rsidP="006B25A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FA8" w:rsidRDefault="001B4FA8" w:rsidP="00B719F1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-30480</wp:posOffset>
          </wp:positionH>
          <wp:positionV relativeFrom="paragraph">
            <wp:posOffset>-120650</wp:posOffset>
          </wp:positionV>
          <wp:extent cx="1591945" cy="1456690"/>
          <wp:effectExtent l="0" t="0" r="0" b="0"/>
          <wp:wrapNone/>
          <wp:docPr id="2" name="Obraz 2" descr="Opis: 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Cs w:val="20"/>
      </w:rPr>
      <w:t>Biuro Projektów Budowlanych</w:t>
    </w:r>
  </w:p>
  <w:p w:rsidR="001B4FA8" w:rsidRDefault="001B4FA8" w:rsidP="00B719F1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szCs w:val="20"/>
      </w:rPr>
      <w:t>Anna Grenda – Wołkow</w:t>
    </w:r>
  </w:p>
  <w:p w:rsidR="001B4FA8" w:rsidRDefault="001B4FA8" w:rsidP="00B719F1">
    <w:pPr>
      <w:spacing w:line="240" w:lineRule="auto"/>
      <w:jc w:val="right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>ul. Trakt 31; 87-140 Chełmża</w:t>
    </w:r>
  </w:p>
  <w:p w:rsidR="001B4FA8" w:rsidRPr="006B25A5" w:rsidRDefault="001B4FA8" w:rsidP="00B719F1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419" w:rsidRPr="0005391C" w:rsidRDefault="00527419" w:rsidP="00527419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05391C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1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527419" w:rsidRPr="0005391C" w:rsidRDefault="00527419" w:rsidP="00527419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Tel. 723-071-098 </w:t>
    </w:r>
  </w:p>
  <w:p w:rsidR="00527419" w:rsidRPr="0005391C" w:rsidRDefault="00527419" w:rsidP="00527419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1B4FA8" w:rsidRPr="006B25A5" w:rsidRDefault="001B4FA8" w:rsidP="00B719F1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C9AE32A"/>
    <w:lvl w:ilvl="0" w:tplc="4830EDF2">
      <w:start w:val="1"/>
      <w:numFmt w:val="decimal"/>
      <w:lvlText w:val="1.4.%1."/>
      <w:lvlJc w:val="left"/>
      <w:rPr>
        <w:rFonts w:asciiTheme="minorHAnsi" w:hAnsiTheme="minorHAnsi" w:hint="default"/>
        <w:sz w:val="20"/>
        <w:szCs w:val="2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1B71EFA"/>
    <w:lvl w:ilvl="0" w:tplc="FFFFFFFF">
      <w:start w:val="1"/>
      <w:numFmt w:val="decimal"/>
      <w:lvlText w:val="2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9E2A9E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15F007C"/>
    <w:lvl w:ilvl="0" w:tplc="FFFFFFFF">
      <w:start w:val="1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5BD062C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4DB127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0216231A"/>
    <w:lvl w:ilvl="0" w:tplc="FFFFFFFF">
      <w:start w:val="1"/>
      <w:numFmt w:val="decimal"/>
      <w:lvlText w:val="9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F16E9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66EF438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2B1293"/>
    <w:multiLevelType w:val="hybridMultilevel"/>
    <w:tmpl w:val="A32698C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D70DF4"/>
    <w:multiLevelType w:val="hybridMultilevel"/>
    <w:tmpl w:val="0CBE2FE4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95190F"/>
    <w:multiLevelType w:val="hybridMultilevel"/>
    <w:tmpl w:val="675CB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8B1602"/>
    <w:multiLevelType w:val="hybridMultilevel"/>
    <w:tmpl w:val="F5E26F6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886A4E"/>
    <w:multiLevelType w:val="hybridMultilevel"/>
    <w:tmpl w:val="25DE20F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C06041"/>
    <w:multiLevelType w:val="hybridMultilevel"/>
    <w:tmpl w:val="0A4092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0828D5"/>
    <w:multiLevelType w:val="multilevel"/>
    <w:tmpl w:val="0F78D50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1146" w:hanging="720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>
    <w:nsid w:val="3035126A"/>
    <w:multiLevelType w:val="hybridMultilevel"/>
    <w:tmpl w:val="1D7A435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77526B"/>
    <w:multiLevelType w:val="hybridMultilevel"/>
    <w:tmpl w:val="4B38FE6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502513"/>
    <w:multiLevelType w:val="hybridMultilevel"/>
    <w:tmpl w:val="110A126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B21FE"/>
    <w:multiLevelType w:val="hybridMultilevel"/>
    <w:tmpl w:val="98F8D734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F56A3"/>
    <w:multiLevelType w:val="hybridMultilevel"/>
    <w:tmpl w:val="F9BE7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82021"/>
    <w:multiLevelType w:val="hybridMultilevel"/>
    <w:tmpl w:val="9630570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41EF9"/>
    <w:multiLevelType w:val="hybridMultilevel"/>
    <w:tmpl w:val="E0444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26036B"/>
    <w:multiLevelType w:val="hybridMultilevel"/>
    <w:tmpl w:val="BD5ABD2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5D4FA9"/>
    <w:multiLevelType w:val="hybridMultilevel"/>
    <w:tmpl w:val="AA3AE7F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A22BB6"/>
    <w:multiLevelType w:val="hybridMultilevel"/>
    <w:tmpl w:val="3B10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9C5DF9"/>
    <w:multiLevelType w:val="hybridMultilevel"/>
    <w:tmpl w:val="A7C01A5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820401"/>
    <w:multiLevelType w:val="hybridMultilevel"/>
    <w:tmpl w:val="46520B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B4E32"/>
    <w:multiLevelType w:val="hybridMultilevel"/>
    <w:tmpl w:val="2EB8A498"/>
    <w:lvl w:ilvl="0" w:tplc="6BBC98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13"/>
  </w:num>
  <w:num w:numId="4">
    <w:abstractNumId w:val="29"/>
  </w:num>
  <w:num w:numId="5">
    <w:abstractNumId w:val="19"/>
  </w:num>
  <w:num w:numId="6">
    <w:abstractNumId w:val="22"/>
  </w:num>
  <w:num w:numId="7">
    <w:abstractNumId w:val="30"/>
  </w:num>
  <w:num w:numId="8">
    <w:abstractNumId w:val="24"/>
  </w:num>
  <w:num w:numId="9">
    <w:abstractNumId w:val="16"/>
  </w:num>
  <w:num w:numId="10">
    <w:abstractNumId w:val="27"/>
  </w:num>
  <w:num w:numId="11">
    <w:abstractNumId w:val="15"/>
  </w:num>
  <w:num w:numId="12">
    <w:abstractNumId w:val="26"/>
  </w:num>
  <w:num w:numId="13">
    <w:abstractNumId w:val="12"/>
  </w:num>
  <w:num w:numId="14">
    <w:abstractNumId w:val="20"/>
  </w:num>
  <w:num w:numId="15">
    <w:abstractNumId w:val="31"/>
  </w:num>
  <w:num w:numId="16">
    <w:abstractNumId w:val="21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5"/>
  </w:num>
  <w:num w:numId="23">
    <w:abstractNumId w:val="6"/>
  </w:num>
  <w:num w:numId="24">
    <w:abstractNumId w:val="7"/>
  </w:num>
  <w:num w:numId="25">
    <w:abstractNumId w:val="8"/>
  </w:num>
  <w:num w:numId="26">
    <w:abstractNumId w:val="9"/>
  </w:num>
  <w:num w:numId="27">
    <w:abstractNumId w:val="10"/>
  </w:num>
  <w:num w:numId="28">
    <w:abstractNumId w:val="11"/>
  </w:num>
  <w:num w:numId="29">
    <w:abstractNumId w:val="17"/>
  </w:num>
  <w:num w:numId="30">
    <w:abstractNumId w:val="23"/>
  </w:num>
  <w:num w:numId="31">
    <w:abstractNumId w:val="14"/>
  </w:num>
  <w:num w:numId="32">
    <w:abstractNumId w:val="2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9"/>
  <w:hyphenationZone w:val="425"/>
  <w:drawingGridHorizontalSpacing w:val="95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2E5EFC"/>
    <w:rsid w:val="00004AE2"/>
    <w:rsid w:val="0001145A"/>
    <w:rsid w:val="00022794"/>
    <w:rsid w:val="00063D49"/>
    <w:rsid w:val="000730F0"/>
    <w:rsid w:val="000941FF"/>
    <w:rsid w:val="00094A75"/>
    <w:rsid w:val="000A6485"/>
    <w:rsid w:val="000C5D78"/>
    <w:rsid w:val="000C62A7"/>
    <w:rsid w:val="000C7460"/>
    <w:rsid w:val="000C7B23"/>
    <w:rsid w:val="00106865"/>
    <w:rsid w:val="001111E2"/>
    <w:rsid w:val="0011337A"/>
    <w:rsid w:val="00114638"/>
    <w:rsid w:val="00130EA2"/>
    <w:rsid w:val="00132CAC"/>
    <w:rsid w:val="001409E8"/>
    <w:rsid w:val="001B4FA8"/>
    <w:rsid w:val="001C7D04"/>
    <w:rsid w:val="001E634B"/>
    <w:rsid w:val="002027CE"/>
    <w:rsid w:val="0021131E"/>
    <w:rsid w:val="002148B2"/>
    <w:rsid w:val="00232817"/>
    <w:rsid w:val="00245175"/>
    <w:rsid w:val="00254214"/>
    <w:rsid w:val="00261214"/>
    <w:rsid w:val="00267CE2"/>
    <w:rsid w:val="002960EE"/>
    <w:rsid w:val="002A0DF2"/>
    <w:rsid w:val="002A10F9"/>
    <w:rsid w:val="002B18BA"/>
    <w:rsid w:val="002B45F9"/>
    <w:rsid w:val="002D2E6E"/>
    <w:rsid w:val="002D3765"/>
    <w:rsid w:val="002D574C"/>
    <w:rsid w:val="002E54EA"/>
    <w:rsid w:val="002E5EFC"/>
    <w:rsid w:val="002F2EDC"/>
    <w:rsid w:val="002F45C7"/>
    <w:rsid w:val="00302214"/>
    <w:rsid w:val="00312902"/>
    <w:rsid w:val="003217C0"/>
    <w:rsid w:val="00333331"/>
    <w:rsid w:val="003676AB"/>
    <w:rsid w:val="00376C88"/>
    <w:rsid w:val="00384CBB"/>
    <w:rsid w:val="003A764C"/>
    <w:rsid w:val="003A7E2E"/>
    <w:rsid w:val="003B7D45"/>
    <w:rsid w:val="003C0020"/>
    <w:rsid w:val="003C64B0"/>
    <w:rsid w:val="003F588D"/>
    <w:rsid w:val="00412946"/>
    <w:rsid w:val="00414760"/>
    <w:rsid w:val="00421DC4"/>
    <w:rsid w:val="0043068B"/>
    <w:rsid w:val="00437271"/>
    <w:rsid w:val="004557D0"/>
    <w:rsid w:val="00464D5F"/>
    <w:rsid w:val="0046603B"/>
    <w:rsid w:val="00472BDF"/>
    <w:rsid w:val="00491532"/>
    <w:rsid w:val="004926E5"/>
    <w:rsid w:val="004B3DCD"/>
    <w:rsid w:val="004B5428"/>
    <w:rsid w:val="004D3538"/>
    <w:rsid w:val="004E208C"/>
    <w:rsid w:val="004E64C4"/>
    <w:rsid w:val="004F2B52"/>
    <w:rsid w:val="004F2BEC"/>
    <w:rsid w:val="00513A19"/>
    <w:rsid w:val="0052078E"/>
    <w:rsid w:val="00527419"/>
    <w:rsid w:val="00556878"/>
    <w:rsid w:val="00556C2E"/>
    <w:rsid w:val="00560E1F"/>
    <w:rsid w:val="00561743"/>
    <w:rsid w:val="0056532D"/>
    <w:rsid w:val="005672B3"/>
    <w:rsid w:val="0057086E"/>
    <w:rsid w:val="0057514A"/>
    <w:rsid w:val="005862FD"/>
    <w:rsid w:val="005A6617"/>
    <w:rsid w:val="005B09B5"/>
    <w:rsid w:val="005C7DFB"/>
    <w:rsid w:val="005D3E90"/>
    <w:rsid w:val="005D42EB"/>
    <w:rsid w:val="005D68B5"/>
    <w:rsid w:val="005E0C18"/>
    <w:rsid w:val="005E53DA"/>
    <w:rsid w:val="005F431C"/>
    <w:rsid w:val="0060110C"/>
    <w:rsid w:val="0060599B"/>
    <w:rsid w:val="00607662"/>
    <w:rsid w:val="00616986"/>
    <w:rsid w:val="006418B6"/>
    <w:rsid w:val="00656AB7"/>
    <w:rsid w:val="006638BE"/>
    <w:rsid w:val="006667E2"/>
    <w:rsid w:val="0067442A"/>
    <w:rsid w:val="00684087"/>
    <w:rsid w:val="006A58F1"/>
    <w:rsid w:val="006B25A5"/>
    <w:rsid w:val="006B38A0"/>
    <w:rsid w:val="006C1A60"/>
    <w:rsid w:val="006D1062"/>
    <w:rsid w:val="006E1411"/>
    <w:rsid w:val="006E2A30"/>
    <w:rsid w:val="006E733E"/>
    <w:rsid w:val="0071021C"/>
    <w:rsid w:val="007144B8"/>
    <w:rsid w:val="007202AA"/>
    <w:rsid w:val="00723955"/>
    <w:rsid w:val="00730067"/>
    <w:rsid w:val="00730107"/>
    <w:rsid w:val="007330FB"/>
    <w:rsid w:val="00736ADE"/>
    <w:rsid w:val="00740C18"/>
    <w:rsid w:val="0074395A"/>
    <w:rsid w:val="00765A37"/>
    <w:rsid w:val="00766BA4"/>
    <w:rsid w:val="00770B88"/>
    <w:rsid w:val="00774BF5"/>
    <w:rsid w:val="00776FF3"/>
    <w:rsid w:val="007806FA"/>
    <w:rsid w:val="00784CD8"/>
    <w:rsid w:val="007945F4"/>
    <w:rsid w:val="00796845"/>
    <w:rsid w:val="007C0F8E"/>
    <w:rsid w:val="007C1FAD"/>
    <w:rsid w:val="007D0352"/>
    <w:rsid w:val="007D7298"/>
    <w:rsid w:val="007D78C8"/>
    <w:rsid w:val="007E2642"/>
    <w:rsid w:val="007E651F"/>
    <w:rsid w:val="007F2886"/>
    <w:rsid w:val="00805C53"/>
    <w:rsid w:val="008076E2"/>
    <w:rsid w:val="00812C1E"/>
    <w:rsid w:val="008334E8"/>
    <w:rsid w:val="00840E7B"/>
    <w:rsid w:val="00841FCB"/>
    <w:rsid w:val="008565D0"/>
    <w:rsid w:val="00875BC3"/>
    <w:rsid w:val="008823A5"/>
    <w:rsid w:val="00883C5E"/>
    <w:rsid w:val="008B7464"/>
    <w:rsid w:val="008C1467"/>
    <w:rsid w:val="008C5C51"/>
    <w:rsid w:val="008C6D09"/>
    <w:rsid w:val="008E2F6E"/>
    <w:rsid w:val="008E77D7"/>
    <w:rsid w:val="00913057"/>
    <w:rsid w:val="00926CB5"/>
    <w:rsid w:val="00931A4E"/>
    <w:rsid w:val="00940AD1"/>
    <w:rsid w:val="009A0465"/>
    <w:rsid w:val="009A7D94"/>
    <w:rsid w:val="009C18F0"/>
    <w:rsid w:val="009F0A61"/>
    <w:rsid w:val="009F423D"/>
    <w:rsid w:val="009F4F57"/>
    <w:rsid w:val="00A00233"/>
    <w:rsid w:val="00A05589"/>
    <w:rsid w:val="00A06101"/>
    <w:rsid w:val="00A470DE"/>
    <w:rsid w:val="00A52526"/>
    <w:rsid w:val="00A61846"/>
    <w:rsid w:val="00A63DB9"/>
    <w:rsid w:val="00A678DF"/>
    <w:rsid w:val="00A74B27"/>
    <w:rsid w:val="00A944D0"/>
    <w:rsid w:val="00AB1EEA"/>
    <w:rsid w:val="00AC023C"/>
    <w:rsid w:val="00AD5D32"/>
    <w:rsid w:val="00AE4AA5"/>
    <w:rsid w:val="00AF2E1D"/>
    <w:rsid w:val="00B12A21"/>
    <w:rsid w:val="00B26A15"/>
    <w:rsid w:val="00B31788"/>
    <w:rsid w:val="00B43F90"/>
    <w:rsid w:val="00B45E3A"/>
    <w:rsid w:val="00B534C3"/>
    <w:rsid w:val="00B719F1"/>
    <w:rsid w:val="00B721AC"/>
    <w:rsid w:val="00B8167B"/>
    <w:rsid w:val="00B86B2C"/>
    <w:rsid w:val="00B91F51"/>
    <w:rsid w:val="00B93CC4"/>
    <w:rsid w:val="00B955CB"/>
    <w:rsid w:val="00BC1D8F"/>
    <w:rsid w:val="00BC294B"/>
    <w:rsid w:val="00BD2BA8"/>
    <w:rsid w:val="00BD6F01"/>
    <w:rsid w:val="00BF0B07"/>
    <w:rsid w:val="00C146C4"/>
    <w:rsid w:val="00C17A70"/>
    <w:rsid w:val="00C231B6"/>
    <w:rsid w:val="00C26620"/>
    <w:rsid w:val="00C27CDD"/>
    <w:rsid w:val="00C333A7"/>
    <w:rsid w:val="00C42C39"/>
    <w:rsid w:val="00C65E6A"/>
    <w:rsid w:val="00C71348"/>
    <w:rsid w:val="00C760D1"/>
    <w:rsid w:val="00C77F8A"/>
    <w:rsid w:val="00C84385"/>
    <w:rsid w:val="00C97175"/>
    <w:rsid w:val="00CA24CF"/>
    <w:rsid w:val="00CA5779"/>
    <w:rsid w:val="00CA5C51"/>
    <w:rsid w:val="00CB1CC3"/>
    <w:rsid w:val="00CB4A23"/>
    <w:rsid w:val="00CE2AFA"/>
    <w:rsid w:val="00CF68DD"/>
    <w:rsid w:val="00CF7F2A"/>
    <w:rsid w:val="00D00EA0"/>
    <w:rsid w:val="00D20CDB"/>
    <w:rsid w:val="00D27DB2"/>
    <w:rsid w:val="00D53C03"/>
    <w:rsid w:val="00D653A1"/>
    <w:rsid w:val="00D82FFA"/>
    <w:rsid w:val="00D84D0E"/>
    <w:rsid w:val="00D96800"/>
    <w:rsid w:val="00DC11AF"/>
    <w:rsid w:val="00DC2115"/>
    <w:rsid w:val="00DC4EFA"/>
    <w:rsid w:val="00DC569D"/>
    <w:rsid w:val="00DE75C5"/>
    <w:rsid w:val="00DE7925"/>
    <w:rsid w:val="00DF5791"/>
    <w:rsid w:val="00DF7F8F"/>
    <w:rsid w:val="00E235BE"/>
    <w:rsid w:val="00E269B2"/>
    <w:rsid w:val="00E27147"/>
    <w:rsid w:val="00E274F6"/>
    <w:rsid w:val="00E40EEB"/>
    <w:rsid w:val="00E41016"/>
    <w:rsid w:val="00E53C05"/>
    <w:rsid w:val="00E75868"/>
    <w:rsid w:val="00E82DBB"/>
    <w:rsid w:val="00E83BAF"/>
    <w:rsid w:val="00E83F3F"/>
    <w:rsid w:val="00E91659"/>
    <w:rsid w:val="00E92ACD"/>
    <w:rsid w:val="00E92C1B"/>
    <w:rsid w:val="00E92CF9"/>
    <w:rsid w:val="00EA2375"/>
    <w:rsid w:val="00EA5D4D"/>
    <w:rsid w:val="00EB3261"/>
    <w:rsid w:val="00EB4F0A"/>
    <w:rsid w:val="00EC20D2"/>
    <w:rsid w:val="00EC6845"/>
    <w:rsid w:val="00ED60DF"/>
    <w:rsid w:val="00EE06B2"/>
    <w:rsid w:val="00EE23FE"/>
    <w:rsid w:val="00EF0147"/>
    <w:rsid w:val="00EF61B3"/>
    <w:rsid w:val="00F148F5"/>
    <w:rsid w:val="00F24618"/>
    <w:rsid w:val="00F2482D"/>
    <w:rsid w:val="00F45098"/>
    <w:rsid w:val="00F46253"/>
    <w:rsid w:val="00F5748D"/>
    <w:rsid w:val="00F65851"/>
    <w:rsid w:val="00F7375A"/>
    <w:rsid w:val="00F769E7"/>
    <w:rsid w:val="00F85B6F"/>
    <w:rsid w:val="00F85FBE"/>
    <w:rsid w:val="00F873D8"/>
    <w:rsid w:val="00FB6328"/>
    <w:rsid w:val="00FD656B"/>
    <w:rsid w:val="00FF1108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9F1"/>
    <w:pPr>
      <w:tabs>
        <w:tab w:val="left" w:pos="284"/>
      </w:tabs>
      <w:spacing w:before="60" w:after="0" w:line="336" w:lineRule="auto"/>
      <w:jc w:val="both"/>
    </w:pPr>
    <w:rPr>
      <w:rFonts w:cs="Times-Roman"/>
      <w:sz w:val="19"/>
    </w:rPr>
  </w:style>
  <w:style w:type="paragraph" w:styleId="Nagwek1">
    <w:name w:val="heading 1"/>
    <w:basedOn w:val="Normalny"/>
    <w:next w:val="Normalny"/>
    <w:link w:val="Nagwek1Znak"/>
    <w:qFormat/>
    <w:rsid w:val="006B38A0"/>
    <w:pPr>
      <w:keepNext/>
      <w:widowControl w:val="0"/>
      <w:numPr>
        <w:numId w:val="1"/>
      </w:numPr>
      <w:autoSpaceDE w:val="0"/>
      <w:autoSpaceDN w:val="0"/>
      <w:adjustRightInd w:val="0"/>
      <w:spacing w:before="240" w:line="360" w:lineRule="auto"/>
      <w:ind w:left="357" w:right="3402" w:hanging="357"/>
      <w:outlineLvl w:val="0"/>
    </w:pPr>
    <w:rPr>
      <w:rFonts w:eastAsia="Times New Roman" w:cs="Times New Roman"/>
      <w:b/>
      <w:bCs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806FA"/>
    <w:pPr>
      <w:keepNext/>
      <w:numPr>
        <w:ilvl w:val="1"/>
        <w:numId w:val="1"/>
      </w:numPr>
      <w:spacing w:before="120" w:after="60"/>
      <w:ind w:left="567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5FBE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DC2115"/>
    <w:pPr>
      <w:numPr>
        <w:ilvl w:val="3"/>
        <w:numId w:val="1"/>
      </w:numPr>
      <w:spacing w:after="60"/>
      <w:ind w:left="1276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B38A0"/>
    <w:rPr>
      <w:rFonts w:eastAsia="Times New Roman" w:cs="Times New Roman"/>
      <w:b/>
      <w:bCs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806FA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85FBE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DC2115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B07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805C53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6B25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9FD30-32A5-4745-8D69-FA353546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BPB</cp:lastModifiedBy>
  <cp:revision>30</cp:revision>
  <cp:lastPrinted>2019-08-14T17:27:00Z</cp:lastPrinted>
  <dcterms:created xsi:type="dcterms:W3CDTF">2016-07-06T11:28:00Z</dcterms:created>
  <dcterms:modified xsi:type="dcterms:W3CDTF">2019-08-19T14:07:00Z</dcterms:modified>
</cp:coreProperties>
</file>