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DAD" w:rsidRPr="00F16DAD" w:rsidRDefault="00F16DAD" w:rsidP="00F16DAD">
      <w:pPr>
        <w:jc w:val="right"/>
        <w:rPr>
          <w:sz w:val="20"/>
        </w:rPr>
      </w:pPr>
      <w:r w:rsidRPr="00F16DAD">
        <w:rPr>
          <w:sz w:val="20"/>
        </w:rPr>
        <w:t>Załącznik nr 1c do SWZ</w:t>
      </w:r>
    </w:p>
    <w:p w:rsidR="00F16DAD" w:rsidRPr="00F16DAD" w:rsidRDefault="00F16DAD" w:rsidP="00F16DAD">
      <w:pPr>
        <w:jc w:val="center"/>
        <w:rPr>
          <w:b/>
        </w:rPr>
      </w:pPr>
      <w:r w:rsidRPr="00F16DAD">
        <w:rPr>
          <w:b/>
        </w:rPr>
        <w:t xml:space="preserve">Część III – narzędzia do pracowni badań wytrzymałościowych i pomiarowych – </w:t>
      </w:r>
    </w:p>
    <w:p w:rsidR="00F16DAD" w:rsidRPr="00F16DAD" w:rsidRDefault="00F16DAD" w:rsidP="00F16DAD">
      <w:pPr>
        <w:jc w:val="center"/>
        <w:rPr>
          <w:b/>
        </w:rPr>
      </w:pPr>
      <w:r w:rsidRPr="00F16DAD">
        <w:rPr>
          <w:b/>
        </w:rPr>
        <w:t>Modernizacja i wyposażenie pracowni zawodowych w placówkach edukacyjnych Powiatu Wąbrzeskiego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694"/>
        <w:gridCol w:w="628"/>
        <w:gridCol w:w="5609"/>
        <w:gridCol w:w="2268"/>
        <w:gridCol w:w="2268"/>
      </w:tblGrid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pozycji brutto</w:t>
            </w: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Uniwersalna maszyna wytrzymałościowa 100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kN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Uniwersalna maszyna wytrzymałościowa. Zakres pracy w kierunku na ścisk i rozciąg 100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(10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 Dokładność klasa 0,5.  Badanie wytrzymałości materiałów typu metale, stal, tworzywa sztuczne, pręty, druty, itp. w  zakresie: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rozciąganie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ściskanie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oddzieranie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ścinanie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tarcie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- 3 lub 4 punktowe zginanie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pełzanie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rozdzieranie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cykliczne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sterowanie obciążeniem, odkształceniem, przemieszczeniem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dane i krzywa mogą być wyświetlane oddzielnie lub w tym samym czasie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krzywa i dane wyświetlane w czasie rzeczywistym: siła – przemieszczenie, siła – czas. Naprężenie na mm2 – odkształcenie procentowe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różne prędkości w jednym teście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limity przemieszczenia i ochrona przed przeciążeniem (przycisk bezpieczeństwa)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sterowanie poprzez klawiaturę i mysz; system sterowania typu Serwo w zamkniętej pętli.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Uchwyty klinowe samozaciskowe do badania próbek płaskich w zakresie 0-14mm i próbek okrągłych o zakresie średnic 0 do 20 mm.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Stoliki do badania ściskania, średnica min 100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Przystawka do badania 3 punktowego zginania i łamania, podpora min. 500 mm, rola o średnicy min  24mm.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Ekstensometr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wzdłużny do precyzyjnego pomiaru wydłużenia zakres pracy 50mm, dokształcenie 10mm.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Oprogramowanie do sterowania maszyną i analizy testów w języku polskim.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Komputer stacjonarny, klawiatura, mysz, monitor (zestaw) lub laptop, instrukcja w języku polskim.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CE.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Młot Charciego 300 J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Młot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Charpyego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prób udarowych próbek metalowych.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Energia do 300 J.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Wymienne bijaki 150J/300J zgodny z normami EN 10045 i ISO 148, ASTM E23.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Oprogramowanie do badania energii, zerować, badania strat energii, zapisu, wyświetlania i drukowania wynik testu poprzez komputer.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 sterowania poprzez panel i poprzez komputer i oprogramowanie.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Wahadło duże 300J,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Wahadło 150 J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Panel sterujący,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Automatyczne podnoszenie wahadła,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Pełna osłona bezpieczeństwa z zabezpieczeniem przed otwarciem.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Urządzenie do centrowania próbek.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Kalibrator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centryczny-do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ustawienia uchwytów i młota w odpowiedniej pozycji.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Przyrząd do zmiany bijaka.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Szczypce do przenoszenia próbek.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Bolce i nakrętki do zamocowania podstawy dla próbek.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Uchwyty dla próbek 10x10x55 mm; 10x7x55mm (U,V,R2mm).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Instrukcja w języku polskim.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Oprogramowanie do badań i komputer PC (zestaw z monitorem, klawiatura i mysz).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CE.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Twardościomierz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Brinella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Twardościomierz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Brinella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(dla kulek o średnicy 2,5,5,10mm i obciążenia do 3000 kg twardościomierz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Brinella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obciążeniem przykładnym za pomocą głowicy z pętlą sprzężenia zwrotnego.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możliwość wykonywania pomiarów automatycznie i ręcznie.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funkcja pozwalająca na mierzenie długości, kątów, odległości.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automatyczne generowanie raportów i przesyłanie danych do plików do programu WORD lub EXCEL.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możliwość zapisu wyników lub bezpośredniego ich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przesyłu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systemu (platformy).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pomiar odcisku automatycznie lub ręcznie oraz obliczanie wartości twardości HB.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zapis obrazu odcisku w określonym formacie i folderze.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wyniki pomiarów mogą być przesłane do Excela lub Worda.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konwersja wartości HB do innych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walidacja wyników testu.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statystka: automatyczne przeliczenie wyników, średnia, min, max, odchylenie standardowe,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Cpk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automatyczne generowanie spersonalizowanego raportu.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wysoka powtarzalność, dokładność 0,5% przy pomiarze automatycznym.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Kamera 2MP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połączenie z komputerem poprzez USB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wgłębnik z kulką utwardzoną (po 1szt.): fi 2,5mm, 5mm, 10mm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stolik płaski min  2 szt.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stolik typu V 1 szt.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mikroskop 20x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Instrukcja w języku polskim.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Oprogramowanie do badań.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CE.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Twardościomierz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Rockvella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Cyfrowy twardościomierz Rockwella, cykl testu automatyczny.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 wyświetlacz LCD, bezpośrednio wskazujący wartość twardości, przeliczenie na inne skale, czas utrzymania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obciążenia, temperaturę, wartość: max, min, wartość średnią, dane testu i czas, ogólna analiza danych.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wbudowana drukarka.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dokładność zgodna z normami BS EN10109-96, ISO6508.2, ASTM E-18.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sztywna konstrukcja przygotowana do trudnych warunków.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Skale twardości: HRA, HRB, HRC, HRD, HRE, HRF, HRG, HRH, HRR, HRL, HRM, HRK. Konwersja do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HRA, HRB, HRC, HRD, HRF, HV, HK, HBW, H15N, H30N, H45N, H15T, H30T, H45T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Superficial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Rocwell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Brinll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Vickers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10kg obciążenie wstępne/60,100,150kg pełnego obciążenia.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wyświetlanie danych  ekran LCD.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Wbudowana drukarka i RS232.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diamentowy wgłębnik Rockwella,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wgłębnik Rockwella z kulką 1/16”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kulki 1/16” – min3 szt.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płaski stolik duży, średni i typu V po 1 szt. każdego typu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płytka sprawdzająca HRA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płytka sprawdzająca HRB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płytka referencyjna HRC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Instrukcja w języku polskim.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oprogramowanie do badań.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Certyfikat CE.  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Twardościomierz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Vickersa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Makro twardościomierz wyposażony w oprogramowanie umożliwiające automatyczny pomiar twardości.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Skale twardości (HV): HV0.3, HV0.5, HV1, HV2, HV3, HV5, HV10.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Skale twardości-konwersja: HRA, HRB, HRC, HRD, HK, HBS, H15N, H30N, H45N, H15T, H30T, H45T.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obciążeń: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300g (2,94N), 500g (4.9N), 1kg (9.8N), 2kg (19,6N), 3kg (29,4N), 5kg (49N), 10kg (98N). Błąd zadania obciążenia ±1.0%.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prędkość zadawania obciążenia: &lt;50µm/s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zakres pomiaru twardości: 8HV/3000HV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odczyt pomiaru: cyfrowy okular połączony z oprogramowaniem,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 max. wysokość próbki: 200mm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odległość od wgłębnika do ramy (głębokość) min 120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 automatyczny pomiar w skalach twardości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Vickersa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(HV),  przełączanie trybu pomiaru z dynamicznego na statyczny lub statycznego na dynamiczny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możliwość automatycznej konwersji wyników na skale twardości: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HRA, HRB, HRC, HRD, HBS, H15N, H30N, H45N, H15T, H30T, H45T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dokładność pomiaru do 0,01µm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możliwość exportu wyników pomiarów bezpośrednio do Word lub Excel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umożliwia zapis obrazu odcisku jako plik JPG/BMP.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-cyfrowy okular 10x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obiektyw poglądowy 10x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obiektyw pomiarowy 20x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wgłębnik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Vickersa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duży stolik (płaski)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mały stolik (płaski)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przewód zasilający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pyłoszczelna obudowa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tabele konwersji twardości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oprogramowanie do pomiaru i analizy twardości, pomiar manualny i automatyczny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klucz USB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kamera CCD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płytka kontrolna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Vickersa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Instrukcja w języku polskim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Oprogramowanie do badań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Certyfikat CE.  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Twardościomierz przenośny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Twardościomierz przenośny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Twardościomierz z wbudowanym bijakiem typu D.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możliwość ustawienia górnych i dolnych limitów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przyrząd do badania materiałów metalowych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wyświetlacz wyników wg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skal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twardości: Rockwell HRB, HRC,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Vickers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HV,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Brinell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HB,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Shore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HS,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Leebs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HLD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czytelny wyświetlacz LCD pokazujący wszystkie funkcje 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parametry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dynamiczna procedura pomiarowa z szybkim odczytem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może być używany w dowolnej pozycji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zakres pomiarowy: stal i odlewy stalowe, stale narzędziowe do pracy na zimno, stal nierdzewna, żeliwo szare, odlewy żelaza, odlewy aluminium, mosiądz, brąz, miedź (wszystkie metale)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dokładność w granicach ± 6HLD (760 ± 30HLD), ±10 HLD (530±40HLD)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pamięć min 200 danych w 9 grupach plików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wyjście danych USB2.0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zakres działania – promień wypukły /wklęsły –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=50mm (z podtrzymującym pierścieniem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=10mm)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zakres działania min. połączona grubość 5mm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zakres działania min. głębokość odcisku 0,8mm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oprogramowanie do przesyłania danych na komputer.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Mikroskop metalograficzny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Mikroskop metalograficzny z oprogramowaniem do analizy: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Ziarna wtrącenia metaliczne i niemetaliczne oraz pomiary: długość, szerokość, pola powierzchni, itp., możliwość  zliczenia obiektów, obliczenie udziału ilościowego i procentowego grubości warstwy.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Możliwośćtworzenia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dokumentacji w postaci raportu. Badanie kształtu i klasyfikację rozmiaru grafitu, guzkowatość, grafit, ferrytowe, frakcje perlitu i inne podstawowe statystki analizy żelaza.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Posiada możliwość dostosowania funkcjonalności, zawiera maski obrazu. Klasyfikacja ograniczenia rozmiaru i kształtu guzek oraz wielkość ziarna, liczba ziaren i inne statystyki podstawowe wielkości ziarna. 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Mikroskop w układzie odwróconym do obserwacji próbek nieprzezroczystych w świetle odbitym (EPI-światło dobite) w jasnym i ciemnym polu powiększeniu w zakresie do 1000x.  tor optyczny pozwalający na podłączenie cyfrowej kamery mikroskopowej lub aparatu fotograficznego i zapisywanie zdjęć, dokonywanie pomiarów.  Prowadzenie obserwacji cech istotnych z punktu widzenia inżynierii materiałowej i kontroli jakości. Używany jest do badania struktury metali i ich stopów (zgłady metalograficzne), do wykrywania mikropęknięć, oceny chropowatości i nośności powierzchni,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oceny mikrostruktury tworzyw, analizy elementów elektronicznych (np. układy scalone), dokonywania pomiarów. Obserwacja i identyfikacja stopów metali, oraz badanie ich struktury (kształt, wymiary, ilość, rozmieszczeni składników), wykrycie wad budowy struktury lub materiału, badanie mechanizmów przemian fazowych i identyfikację faz, odtworzenie zastosowanych procesów technologicznych oraz badanie zjawisk zachodzących w trakcie eksploatacji materiałów. 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Nasadka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trinokularowa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kącie pochylenia 45 stopni, rozstaw okularów 53~75mm, 45 stopni, regulacja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dioptryjna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Okular 10x o polu widzenia 22mm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Obiektywy suche o powierzchniach: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PLANachromat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5X/0.10 WD=26.12mm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PLANachromat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10X/0.10 WD=20.20mm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PLANachromat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20X/0.25 WD=8.80mm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PLANachromat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50X/0.40 WD=3,68mm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PLANachromat100X/0,85(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WD=0.40mm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Stolik XY sterowany manualnie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Filtry: niebieski, zielony, żółty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Prosty polaryzator i analizator.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Oprogramowanie do analizy metalograficznej. Kamera cyfrowa CMOS-5mln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pixl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(USB) wraz z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adaptorem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umożliwiającym odwzorowanie obrazu rzeczywistego na ekranie komputera.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Instrukcja w języku polskim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Oprogramowanie do badań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CE.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Mikroskop pomiarowy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Obiektyw o zewnętrznym kącie 30 stopni, kątomierz obiektywu 1 stopień, zakres kątowy 360 stopni, odczyt kąta 6’, okular min 15x, obiektyw powiększenie min 2x, odległość pomiaru nie mniej jak 60 mm, całkowite powiększenie min 30x,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przesów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X,Y min 50 mm, wartość działki elementarnej 0,001 z cyfrową śrubą mikrometryczną, certyfikat CE,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Projektor pomiarowy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Projektor pomiarowy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Pomiary elementów, karbów, kół zębatych, krzywek, gwintów i wzorników o skomplikowanych kształtach poprzez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porównywanie profili i współrzędnych pomiarowych. - ekran projekcyjny: 300 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-kąt obrotu ekranu: 0/360 stopni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-rozdzielczość kąta obrotu:1’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dokładność kąta obrotu:6’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powiększenie: 10x (opcjonalnie 20x, 50x, 100x)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-pole widzenia: Ø30mm (opcjonalnie Ø15mm, Ø6mm, Ø3mm)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-odległość robocza: 75mm (opcjonalnie:69mm, 44,5mm, 26mm)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-stolik pomiarowy: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zakres ruchu XY:150x50mm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rozdzielczość przesuwu: 0,001mm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zakres ruchu w osi Z: 80mm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dokładność pomiaru: (4+L/25)µm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cyfrowy wyświetlacz lub monitor PC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Oprogramowanie export wyników pomiarów bezpośrednio do Worda lub Excela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-możliwość exportu do programów typu CAD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Instrukcja w języku polskim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Oprogramowanie do badań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CE.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Chropowatościomierz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Chropowartościomierz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Parametry chropowatości: Ra,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Rq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Rmax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Rv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R3z, RS,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RSm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RSk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obliczane profile: pierwszy profil (P), profil chropowatości R, krzywa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) współczynnik materiałowy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-powiększenie zapisywanego profilu: Vv:200x~2000x,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20x, 50x, 200x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-standardy: ISO/DIN/JIS/ANSI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-system metryczny: mm/cale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-rozdzielczość wyświetlacza: 0,001µm/0,04µcale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-wyświetlacz: podświetlany LCD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kalibracja za pomocą oprogramowania.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-transfer danych: RS232, bezpośrednio do drukarki lub PC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-zakres min: RA,Rq:0,005-16µm,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R3z: 0,02-160µm;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RSm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RS:2-4000µm Tp:1-100%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-długość odcinków elementarnych: min. 0,25mm/0,08mm/2,5mm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-filtr cyfrowy: RC, PC-RC, GAUSS, D-P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-czujnik: model standardowy, indukcyjny, kontakt diamentowy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-otwory od średnicy: 6mm, głębokość 15mm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zasilanie: akumulator (&gt;3000 pomiarów)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-ładowarka: 220V, 50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Hz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-temperatury pracy: 0°C~40°C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-jednostka główna, oprogramowanie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-sonda pomiarowa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-tabliczka testowa chropowatości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-ochronna obudowa na część wykonującą pomiar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-ładowarka 220V, 50Hz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-kabel do wymiany informacji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Instrukcja w języku polskim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Oprogramowanie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CE.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Szlifierko polerka do zgładów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szlifierko-polerka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Zakres szybkości do 500 RPM (regulowany)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 -sztywny blat odporny na korozję obudowa FRP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-0,5HP silnik o wysokim momencie obrotowym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-płynna zmiana prędkości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-elastyczny strumień wody z zaworem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-aluminiowy dysk 250mm średnicy-wymienny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-mocowanie 1 1/4” (standardowo)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-niezależna głowica polerująca (opcja, automatyczny docisk mechaniczny o sile 40N)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-cyfrowy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timer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Instrukcja w języku polskim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CE.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076A14">
        <w:trPr>
          <w:trHeight w:val="5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Prasa do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inkludowania</w:t>
            </w:r>
            <w:proofErr w:type="spellEnd"/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Prasa do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inkludowania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gorąco, hydrauliczna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Tryb pracy automatyczny. Docisk: hydrauliczny wodą. Max. docisk: 1200kg. Moc: 1,2kW. Liczba stanowisk: 1.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Automatyczne chłodzenie. Forma: Ø40. Max temp. 160°C. Komplet startowy żywic: czarna, zielona, bezbarwna.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Instrukcja w języku polskim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producenta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Certyfikat CE.</w:t>
            </w:r>
          </w:p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76A14" w:rsidTr="00AE65C8">
        <w:trPr>
          <w:trHeight w:val="300"/>
        </w:trPr>
        <w:tc>
          <w:tcPr>
            <w:tcW w:w="11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14" w:rsidRDefault="00076A14" w:rsidP="00076A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632E9" w:rsidRDefault="002632E9"/>
    <w:sectPr w:rsidR="002632E9" w:rsidSect="00AA7BC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D0B" w:rsidRDefault="00BE3D0B" w:rsidP="00F16DAD">
      <w:pPr>
        <w:spacing w:after="0" w:line="240" w:lineRule="auto"/>
      </w:pPr>
      <w:r>
        <w:separator/>
      </w:r>
    </w:p>
  </w:endnote>
  <w:endnote w:type="continuationSeparator" w:id="0">
    <w:p w:rsidR="00BE3D0B" w:rsidRDefault="00BE3D0B" w:rsidP="00F1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D0B" w:rsidRDefault="00BE3D0B" w:rsidP="00F16DAD">
      <w:pPr>
        <w:spacing w:after="0" w:line="240" w:lineRule="auto"/>
      </w:pPr>
      <w:r>
        <w:separator/>
      </w:r>
    </w:p>
  </w:footnote>
  <w:footnote w:type="continuationSeparator" w:id="0">
    <w:p w:rsidR="00BE3D0B" w:rsidRDefault="00BE3D0B" w:rsidP="00F1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AD" w:rsidRDefault="00F16DA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1214755</wp:posOffset>
          </wp:positionH>
          <wp:positionV relativeFrom="paragraph">
            <wp:posOffset>-154305</wp:posOffset>
          </wp:positionV>
          <wp:extent cx="6748780" cy="664210"/>
          <wp:effectExtent l="0" t="0" r="0" b="254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878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AD"/>
    <w:rsid w:val="00076A14"/>
    <w:rsid w:val="002632E9"/>
    <w:rsid w:val="005F7DAD"/>
    <w:rsid w:val="008A4F82"/>
    <w:rsid w:val="00AA7BC5"/>
    <w:rsid w:val="00BE3D0B"/>
    <w:rsid w:val="00F1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A5DD48B-5107-4E91-B3C9-753B1CB9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BC5"/>
    <w:rPr>
      <w:rFonts w:ascii="Calibri" w:eastAsia="Calibri" w:hAnsi="Calibri" w:cs="SimSu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6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16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6DAD"/>
    <w:rPr>
      <w:rFonts w:ascii="Calibri" w:eastAsia="Calibri" w:hAnsi="Calibri" w:cs="SimSun"/>
    </w:rPr>
  </w:style>
  <w:style w:type="paragraph" w:styleId="Stopka">
    <w:name w:val="footer"/>
    <w:basedOn w:val="Normalny"/>
    <w:link w:val="StopkaZnak"/>
    <w:uiPriority w:val="99"/>
    <w:unhideWhenUsed/>
    <w:rsid w:val="00F16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6DAD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10</Pages>
  <Words>1888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2021-06-22T09:26:00Z</dcterms:created>
  <dcterms:modified xsi:type="dcterms:W3CDTF">2021-06-30T08:08:00Z</dcterms:modified>
</cp:coreProperties>
</file>